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60" w:lineRule="exact"/>
        <w:rPr>
          <w:rFonts w:ascii="黑体" w:hAnsi="黑体" w:eastAsia="黑体" w:cs="华文中宋"/>
          <w:sz w:val="32"/>
          <w:szCs w:val="32"/>
        </w:rPr>
      </w:pPr>
      <w:bookmarkStart w:id="0" w:name="_GoBack"/>
      <w:bookmarkEnd w:id="0"/>
      <w:r>
        <w:rPr>
          <w:rFonts w:hint="eastAsia" w:ascii="黑体" w:hAnsi="黑体" w:eastAsia="黑体" w:cs="华文中宋"/>
          <w:sz w:val="32"/>
          <w:szCs w:val="32"/>
        </w:rPr>
        <w:t>附件1</w:t>
      </w:r>
    </w:p>
    <w:p>
      <w:pPr>
        <w:snapToGrid w:val="0"/>
        <w:spacing w:line="840" w:lineRule="exact"/>
        <w:jc w:val="center"/>
        <w:rPr>
          <w:rFonts w:ascii="方正小标宋简体" w:hAnsi="仿宋" w:eastAsia="方正小标宋简体" w:cs="华文中宋"/>
          <w:sz w:val="44"/>
          <w:szCs w:val="44"/>
        </w:rPr>
      </w:pPr>
      <w:r>
        <w:rPr>
          <w:rFonts w:hint="eastAsia" w:ascii="方正小标宋简体" w:hAnsi="仿宋" w:eastAsia="方正小标宋简体" w:cs="华文中宋"/>
          <w:sz w:val="44"/>
          <w:szCs w:val="44"/>
        </w:rPr>
        <w:t>征地补偿安置方案</w:t>
      </w:r>
    </w:p>
    <w:p>
      <w:pPr>
        <w:spacing w:line="600" w:lineRule="exact"/>
        <w:jc w:val="left"/>
        <w:rPr>
          <w:rFonts w:ascii="仿宋" w:hAnsi="仿宋" w:eastAsia="仿宋"/>
          <w:b/>
          <w:sz w:val="36"/>
          <w:szCs w:val="36"/>
        </w:rPr>
      </w:pPr>
    </w:p>
    <w:p>
      <w:pPr>
        <w:spacing w:line="560" w:lineRule="exact"/>
        <w:ind w:firstLine="640" w:firstLineChars="200"/>
        <w:rPr>
          <w:rFonts w:ascii="仿宋" w:hAnsi="仿宋" w:eastAsia="仿宋" w:cs="华文中宋"/>
          <w:sz w:val="32"/>
          <w:szCs w:val="32"/>
        </w:rPr>
      </w:pPr>
      <w:r>
        <w:rPr>
          <w:rFonts w:hint="eastAsia" w:ascii="仿宋" w:hAnsi="仿宋" w:eastAsia="仿宋" w:cs="华文中宋"/>
          <w:sz w:val="32"/>
          <w:szCs w:val="32"/>
        </w:rPr>
        <w:t>根据《中华人民共和国土地管理法》等有关规定，拟定本次《征地补偿安置方案》。</w:t>
      </w:r>
    </w:p>
    <w:p>
      <w:pPr>
        <w:spacing w:line="560" w:lineRule="exact"/>
        <w:ind w:firstLine="640" w:firstLineChars="200"/>
        <w:rPr>
          <w:rFonts w:ascii="黑体" w:hAnsi="黑体" w:eastAsia="黑体" w:cs="华文中宋"/>
          <w:sz w:val="32"/>
          <w:szCs w:val="32"/>
        </w:rPr>
      </w:pPr>
      <w:r>
        <w:rPr>
          <w:rFonts w:hint="eastAsia" w:ascii="黑体" w:hAnsi="黑体" w:eastAsia="黑体" w:cs="华文中宋"/>
          <w:sz w:val="32"/>
          <w:szCs w:val="32"/>
        </w:rPr>
        <w:t>一、征收目的、范围及土地现状</w:t>
      </w:r>
    </w:p>
    <w:p>
      <w:pPr>
        <w:spacing w:line="560" w:lineRule="exact"/>
        <w:ind w:firstLine="640" w:firstLineChars="200"/>
        <w:rPr>
          <w:rFonts w:hint="eastAsia" w:ascii="仿宋" w:hAnsi="仿宋" w:eastAsia="仿宋" w:cs="仿宋"/>
          <w:sz w:val="32"/>
          <w:szCs w:val="32"/>
          <w:lang w:val="en-US" w:eastAsia="zh-CN"/>
        </w:rPr>
      </w:pPr>
      <w:r>
        <w:rPr>
          <w:rFonts w:ascii="仿宋" w:hAnsi="仿宋" w:eastAsia="仿宋" w:cs="仿宋"/>
          <w:sz w:val="32"/>
          <w:szCs w:val="32"/>
        </w:rPr>
        <w:t>因</w:t>
      </w:r>
      <w:r>
        <w:rPr>
          <w:rFonts w:hint="eastAsia" w:ascii="仿宋" w:hAnsi="仿宋" w:eastAsia="仿宋" w:cs="仿宋"/>
          <w:sz w:val="32"/>
          <w:szCs w:val="32"/>
        </w:rPr>
        <w:t>中国特种纸产业基地基础设施项目(一期) -大南门街区引水入城工程提升泵站项目</w:t>
      </w:r>
      <w:r>
        <w:rPr>
          <w:rFonts w:hint="eastAsia" w:ascii="仿宋" w:hAnsi="仿宋" w:eastAsia="仿宋" w:cs="仿宋"/>
          <w:sz w:val="32"/>
          <w:szCs w:val="32"/>
          <w:lang w:eastAsia="zh-CN"/>
        </w:rPr>
        <w:t>建设</w:t>
      </w:r>
      <w:r>
        <w:rPr>
          <w:rFonts w:ascii="仿宋" w:hAnsi="仿宋" w:eastAsia="仿宋" w:cs="仿宋"/>
          <w:sz w:val="32"/>
          <w:szCs w:val="32"/>
        </w:rPr>
        <w:t>需要，需征收</w:t>
      </w:r>
      <w:r>
        <w:rPr>
          <w:rFonts w:hint="eastAsia" w:ascii="仿宋" w:hAnsi="仿宋" w:eastAsia="仿宋" w:cs="仿宋"/>
          <w:sz w:val="32"/>
          <w:szCs w:val="32"/>
          <w:lang w:eastAsia="zh-CN"/>
        </w:rPr>
        <w:t>龙洲街道兰石村农民</w:t>
      </w:r>
      <w:r>
        <w:rPr>
          <w:rFonts w:ascii="仿宋" w:hAnsi="仿宋" w:eastAsia="仿宋" w:cs="仿宋"/>
          <w:sz w:val="32"/>
          <w:szCs w:val="32"/>
        </w:rPr>
        <w:t>集体</w:t>
      </w:r>
      <w:r>
        <w:rPr>
          <w:rFonts w:hint="eastAsia" w:ascii="仿宋" w:hAnsi="仿宋" w:eastAsia="仿宋" w:cs="仿宋"/>
          <w:sz w:val="32"/>
          <w:szCs w:val="32"/>
          <w:lang w:eastAsia="zh-CN"/>
        </w:rPr>
        <w:t>所有</w:t>
      </w:r>
      <w:r>
        <w:rPr>
          <w:rFonts w:ascii="仿宋" w:hAnsi="仿宋" w:eastAsia="仿宋" w:cs="仿宋"/>
          <w:sz w:val="32"/>
          <w:szCs w:val="32"/>
        </w:rPr>
        <w:t>土地</w:t>
      </w:r>
      <w:r>
        <w:rPr>
          <w:rFonts w:hint="eastAsia" w:ascii="仿宋" w:hAnsi="仿宋" w:eastAsia="仿宋" w:cs="仿宋"/>
          <w:sz w:val="32"/>
          <w:szCs w:val="32"/>
          <w:lang w:eastAsia="zh-CN"/>
        </w:rPr>
        <w:t>。其中</w:t>
      </w:r>
      <w:r>
        <w:rPr>
          <w:rFonts w:hint="eastAsia" w:ascii="仿宋" w:hAnsi="仿宋" w:eastAsia="仿宋" w:cs="仿宋"/>
          <w:sz w:val="32"/>
          <w:szCs w:val="32"/>
          <w:lang w:val="en-US" w:eastAsia="zh-CN"/>
        </w:rPr>
        <w:t>林地0.0063公顷、草地0.0001公顷，征收面积总共0.0063公顷，</w:t>
      </w:r>
      <w:r>
        <w:rPr>
          <w:rFonts w:ascii="仿宋" w:hAnsi="仿宋" w:eastAsia="仿宋" w:cs="仿宋"/>
          <w:sz w:val="32"/>
          <w:szCs w:val="32"/>
        </w:rPr>
        <w:t>范围详见勘测定界图。</w:t>
      </w:r>
      <w:r>
        <w:rPr>
          <w:rFonts w:hint="eastAsia" w:ascii="仿宋" w:hAnsi="仿宋" w:eastAsia="仿宋" w:cs="仿宋"/>
          <w:sz w:val="32"/>
          <w:szCs w:val="32"/>
          <w:lang w:eastAsia="zh-CN"/>
        </w:rPr>
        <w:t>其他情况详见土地现状调查成果。</w:t>
      </w:r>
      <w:r>
        <w:rPr>
          <w:rFonts w:hint="eastAsia" w:ascii="仿宋" w:hAnsi="仿宋" w:eastAsia="仿宋" w:cs="仿宋"/>
          <w:sz w:val="32"/>
          <w:szCs w:val="32"/>
          <w:lang w:val="en-US" w:eastAsia="zh-CN"/>
        </w:rPr>
        <w:t xml:space="preserve"> </w:t>
      </w:r>
    </w:p>
    <w:p>
      <w:pPr>
        <w:spacing w:line="560" w:lineRule="exact"/>
        <w:ind w:firstLine="640" w:firstLineChars="200"/>
        <w:rPr>
          <w:rFonts w:ascii="黑体" w:hAnsi="黑体" w:eastAsia="黑体" w:cs="华文中宋"/>
          <w:sz w:val="32"/>
          <w:szCs w:val="32"/>
        </w:rPr>
      </w:pPr>
      <w:r>
        <w:rPr>
          <w:rFonts w:hint="eastAsia" w:ascii="黑体" w:hAnsi="黑体" w:eastAsia="黑体" w:cs="黑体"/>
          <w:sz w:val="32"/>
          <w:szCs w:val="32"/>
          <w:lang w:val="en-US" w:eastAsia="zh-CN"/>
        </w:rPr>
        <w:t>二、</w:t>
      </w:r>
      <w:r>
        <w:rPr>
          <w:rFonts w:hint="eastAsia" w:ascii="黑体" w:hAnsi="黑体" w:eastAsia="黑体" w:cs="黑体"/>
          <w:sz w:val="32"/>
          <w:szCs w:val="32"/>
        </w:rPr>
        <w:t>征</w:t>
      </w:r>
      <w:r>
        <w:rPr>
          <w:rFonts w:hint="eastAsia" w:ascii="黑体" w:hAnsi="黑体" w:eastAsia="黑体" w:cs="华文中宋"/>
          <w:sz w:val="32"/>
          <w:szCs w:val="32"/>
        </w:rPr>
        <w:t>收土地补偿标准、安置方式及保障内容</w:t>
      </w:r>
    </w:p>
    <w:p>
      <w:pPr>
        <w:spacing w:line="560" w:lineRule="exact"/>
        <w:ind w:firstLine="640" w:firstLineChars="200"/>
        <w:rPr>
          <w:rFonts w:ascii="仿宋" w:hAnsi="仿宋" w:eastAsia="仿宋" w:cs="华文中宋"/>
          <w:sz w:val="32"/>
          <w:szCs w:val="32"/>
        </w:rPr>
      </w:pPr>
      <w:r>
        <w:rPr>
          <w:rFonts w:hint="eastAsia" w:ascii="仿宋" w:hAnsi="仿宋" w:eastAsia="仿宋" w:cs="华文中宋"/>
          <w:sz w:val="32"/>
          <w:szCs w:val="32"/>
          <w:lang w:eastAsia="zh-CN"/>
        </w:rPr>
        <w:t>（一）</w:t>
      </w:r>
      <w:r>
        <w:rPr>
          <w:rFonts w:hint="eastAsia" w:ascii="仿宋" w:hAnsi="仿宋" w:eastAsia="仿宋" w:cs="华文中宋"/>
          <w:sz w:val="32"/>
          <w:szCs w:val="32"/>
        </w:rPr>
        <w:t>征地区片综合价包括土地补偿费和安置补助费。按《龙游县人民政府关于</w:t>
      </w:r>
      <w:r>
        <w:rPr>
          <w:rFonts w:hint="eastAsia" w:ascii="仿宋" w:hAnsi="仿宋" w:eastAsia="仿宋" w:cs="华文中宋"/>
          <w:sz w:val="32"/>
          <w:szCs w:val="32"/>
          <w:lang w:eastAsia="zh-CN"/>
        </w:rPr>
        <w:t>重新公布龙游县</w:t>
      </w:r>
      <w:r>
        <w:rPr>
          <w:rFonts w:hint="eastAsia" w:ascii="仿宋" w:hAnsi="仿宋" w:eastAsia="仿宋" w:cs="华文中宋"/>
          <w:sz w:val="32"/>
          <w:szCs w:val="32"/>
        </w:rPr>
        <w:t>征地区片综合价补偿办法的通知》（龙政发〔202</w:t>
      </w:r>
      <w:r>
        <w:rPr>
          <w:rFonts w:hint="eastAsia" w:ascii="仿宋" w:hAnsi="仿宋" w:eastAsia="仿宋" w:cs="华文中宋"/>
          <w:sz w:val="32"/>
          <w:szCs w:val="32"/>
          <w:lang w:val="en-US" w:eastAsia="zh-CN"/>
        </w:rPr>
        <w:t>3</w:t>
      </w:r>
      <w:r>
        <w:rPr>
          <w:rFonts w:hint="eastAsia" w:ascii="仿宋" w:hAnsi="仿宋" w:eastAsia="仿宋" w:cs="华文中宋"/>
          <w:sz w:val="32"/>
          <w:szCs w:val="32"/>
        </w:rPr>
        <w:t>〕</w:t>
      </w:r>
      <w:r>
        <w:rPr>
          <w:rFonts w:hint="eastAsia" w:ascii="仿宋" w:hAnsi="仿宋" w:eastAsia="仿宋" w:cs="华文中宋"/>
          <w:sz w:val="32"/>
          <w:szCs w:val="32"/>
          <w:lang w:val="en-US" w:eastAsia="zh-CN"/>
        </w:rPr>
        <w:t>99</w:t>
      </w:r>
      <w:r>
        <w:rPr>
          <w:rFonts w:hint="eastAsia" w:ascii="仿宋" w:hAnsi="仿宋" w:eastAsia="仿宋" w:cs="华文中宋"/>
          <w:sz w:val="32"/>
          <w:szCs w:val="32"/>
        </w:rPr>
        <w:t>号）规定的征地区片综合价标准进行补偿，具体为：</w:t>
      </w:r>
    </w:p>
    <w:p>
      <w:pPr>
        <w:spacing w:line="60" w:lineRule="exact"/>
        <w:rPr>
          <w:rFonts w:ascii="仿宋" w:hAnsi="仿宋" w:eastAsia="仿宋" w:cs="华文中宋"/>
          <w:sz w:val="32"/>
          <w:szCs w:val="32"/>
        </w:rPr>
      </w:pPr>
    </w:p>
    <w:tbl>
      <w:tblPr>
        <w:tblStyle w:val="5"/>
        <w:tblW w:w="8549" w:type="dxa"/>
        <w:tblInd w:w="0" w:type="dxa"/>
        <w:tblLayout w:type="fixed"/>
        <w:tblCellMar>
          <w:top w:w="0" w:type="dxa"/>
          <w:left w:w="0" w:type="dxa"/>
          <w:bottom w:w="0" w:type="dxa"/>
          <w:right w:w="0" w:type="dxa"/>
        </w:tblCellMar>
      </w:tblPr>
      <w:tblGrid>
        <w:gridCol w:w="1334"/>
        <w:gridCol w:w="1545"/>
        <w:gridCol w:w="1273"/>
        <w:gridCol w:w="2147"/>
        <w:gridCol w:w="2250"/>
      </w:tblGrid>
      <w:tr>
        <w:tblPrEx>
          <w:tblCellMar>
            <w:top w:w="0" w:type="dxa"/>
            <w:left w:w="0" w:type="dxa"/>
            <w:bottom w:w="0" w:type="dxa"/>
            <w:right w:w="0" w:type="dxa"/>
          </w:tblCellMar>
        </w:tblPrEx>
        <w:trPr>
          <w:trHeight w:val="436" w:hRule="atLeast"/>
        </w:trPr>
        <w:tc>
          <w:tcPr>
            <w:tcW w:w="1334"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spacing w:line="240" w:lineRule="exact"/>
              <w:jc w:val="center"/>
              <w:rPr>
                <w:rFonts w:hint="eastAsia" w:ascii="黑体" w:hAnsi="黑体" w:eastAsia="黑体" w:cs="仿宋_GB2312"/>
                <w:color w:val="000000"/>
                <w:sz w:val="18"/>
                <w:szCs w:val="18"/>
                <w:lang w:eastAsia="zh-CN"/>
              </w:rPr>
            </w:pPr>
            <w:r>
              <w:rPr>
                <w:rFonts w:hint="eastAsia" w:ascii="黑体" w:hAnsi="黑体" w:eastAsia="黑体" w:cs="仿宋_GB2312"/>
                <w:color w:val="000000"/>
                <w:sz w:val="18"/>
                <w:szCs w:val="18"/>
                <w:lang w:eastAsia="zh-CN"/>
              </w:rPr>
              <w:t>地类名称</w:t>
            </w:r>
          </w:p>
        </w:tc>
        <w:tc>
          <w:tcPr>
            <w:tcW w:w="1545"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spacing w:line="240" w:lineRule="exact"/>
              <w:jc w:val="center"/>
              <w:rPr>
                <w:rFonts w:hint="eastAsia" w:ascii="黑体" w:hAnsi="黑体" w:eastAsia="黑体" w:cs="仿宋_GB2312"/>
                <w:color w:val="000000"/>
                <w:sz w:val="18"/>
                <w:szCs w:val="18"/>
                <w:lang w:eastAsia="zh-CN"/>
              </w:rPr>
            </w:pPr>
            <w:r>
              <w:rPr>
                <w:rFonts w:hint="eastAsia" w:ascii="黑体" w:hAnsi="黑体" w:eastAsia="黑体" w:cs="仿宋_GB2312"/>
                <w:color w:val="000000"/>
                <w:sz w:val="18"/>
                <w:szCs w:val="18"/>
                <w:lang w:eastAsia="zh-CN"/>
              </w:rPr>
              <w:t>区片等级</w:t>
            </w:r>
          </w:p>
        </w:tc>
        <w:tc>
          <w:tcPr>
            <w:tcW w:w="1273"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spacing w:line="240" w:lineRule="exact"/>
              <w:jc w:val="center"/>
              <w:textAlignment w:val="center"/>
              <w:rPr>
                <w:rFonts w:hint="eastAsia" w:ascii="黑体" w:hAnsi="黑体" w:eastAsia="黑体" w:cs="仿宋_GB2312"/>
                <w:color w:val="000000"/>
                <w:sz w:val="18"/>
                <w:szCs w:val="18"/>
                <w:lang w:eastAsia="zh-CN"/>
              </w:rPr>
            </w:pPr>
            <w:r>
              <w:rPr>
                <w:rFonts w:hint="eastAsia" w:ascii="黑体" w:hAnsi="黑体" w:eastAsia="黑体" w:cs="仿宋_GB2312"/>
                <w:color w:val="000000"/>
                <w:kern w:val="0"/>
                <w:sz w:val="18"/>
                <w:szCs w:val="18"/>
                <w:lang w:eastAsia="zh-CN"/>
              </w:rPr>
              <w:t>面积（公顷）</w:t>
            </w:r>
          </w:p>
        </w:tc>
        <w:tc>
          <w:tcPr>
            <w:tcW w:w="2147"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spacing w:line="240" w:lineRule="exact"/>
              <w:jc w:val="center"/>
              <w:textAlignment w:val="center"/>
              <w:rPr>
                <w:rFonts w:hint="eastAsia" w:ascii="黑体" w:hAnsi="黑体" w:eastAsia="黑体" w:cs="仿宋_GB2312"/>
                <w:color w:val="000000"/>
                <w:sz w:val="18"/>
                <w:szCs w:val="18"/>
                <w:lang w:eastAsia="zh-CN"/>
              </w:rPr>
            </w:pPr>
            <w:r>
              <w:rPr>
                <w:rFonts w:hint="eastAsia" w:ascii="黑体" w:hAnsi="黑体" w:eastAsia="黑体" w:cs="仿宋_GB2312"/>
                <w:color w:val="000000"/>
                <w:kern w:val="0"/>
                <w:sz w:val="18"/>
                <w:szCs w:val="18"/>
                <w:lang w:eastAsia="zh-CN"/>
              </w:rPr>
              <w:t>补偿标准（万元</w:t>
            </w:r>
            <w:r>
              <w:rPr>
                <w:rFonts w:hint="eastAsia" w:ascii="黑体" w:hAnsi="黑体" w:eastAsia="黑体" w:cs="仿宋_GB2312"/>
                <w:color w:val="000000"/>
                <w:kern w:val="0"/>
                <w:sz w:val="18"/>
                <w:szCs w:val="18"/>
                <w:lang w:val="en-US" w:eastAsia="zh-CN"/>
              </w:rPr>
              <w:t>/公顷</w:t>
            </w:r>
            <w:r>
              <w:rPr>
                <w:rFonts w:hint="eastAsia" w:ascii="黑体" w:hAnsi="黑体" w:eastAsia="黑体" w:cs="仿宋_GB2312"/>
                <w:color w:val="000000"/>
                <w:kern w:val="0"/>
                <w:sz w:val="18"/>
                <w:szCs w:val="18"/>
                <w:lang w:eastAsia="zh-CN"/>
              </w:rPr>
              <w:t>）</w:t>
            </w:r>
          </w:p>
        </w:tc>
        <w:tc>
          <w:tcPr>
            <w:tcW w:w="2250"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spacing w:line="240" w:lineRule="exact"/>
              <w:jc w:val="center"/>
              <w:textAlignment w:val="center"/>
              <w:rPr>
                <w:rFonts w:hint="eastAsia" w:ascii="黑体" w:hAnsi="黑体" w:eastAsia="黑体" w:cs="仿宋_GB2312"/>
                <w:color w:val="000000"/>
                <w:sz w:val="18"/>
                <w:szCs w:val="18"/>
                <w:lang w:eastAsia="zh-CN"/>
              </w:rPr>
            </w:pPr>
            <w:r>
              <w:rPr>
                <w:rFonts w:hint="eastAsia" w:ascii="黑体" w:hAnsi="黑体" w:eastAsia="黑体" w:cs="仿宋_GB2312"/>
                <w:color w:val="000000"/>
                <w:kern w:val="0"/>
                <w:sz w:val="18"/>
                <w:szCs w:val="18"/>
                <w:lang w:eastAsia="zh-CN"/>
              </w:rPr>
              <w:t>补偿金额（万元）</w:t>
            </w:r>
          </w:p>
        </w:tc>
      </w:tr>
      <w:tr>
        <w:tblPrEx>
          <w:tblCellMar>
            <w:top w:w="0" w:type="dxa"/>
            <w:left w:w="0" w:type="dxa"/>
            <w:bottom w:w="0" w:type="dxa"/>
            <w:right w:w="0" w:type="dxa"/>
          </w:tblCellMar>
        </w:tblPrEx>
        <w:trPr>
          <w:trHeight w:val="411" w:hRule="atLeast"/>
        </w:trPr>
        <w:tc>
          <w:tcPr>
            <w:tcW w:w="133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spacing w:line="240" w:lineRule="exact"/>
              <w:jc w:val="center"/>
              <w:textAlignment w:val="center"/>
              <w:rPr>
                <w:rFonts w:hint="eastAsia" w:ascii="宋体" w:hAnsi="宋体" w:cs="仿宋_GB2312"/>
                <w:color w:val="000000"/>
                <w:kern w:val="0"/>
                <w:sz w:val="18"/>
                <w:szCs w:val="18"/>
                <w:lang w:eastAsia="zh-CN"/>
              </w:rPr>
            </w:pPr>
            <w:r>
              <w:rPr>
                <w:rFonts w:hint="eastAsia" w:ascii="宋体" w:hAnsi="宋体" w:cs="仿宋_GB2312"/>
                <w:color w:val="000000"/>
                <w:kern w:val="0"/>
                <w:sz w:val="18"/>
                <w:szCs w:val="18"/>
                <w:lang w:eastAsia="zh-CN"/>
              </w:rPr>
              <w:t>林地</w:t>
            </w:r>
          </w:p>
        </w:tc>
        <w:tc>
          <w:tcPr>
            <w:tcW w:w="154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240" w:lineRule="exact"/>
              <w:jc w:val="center"/>
              <w:textAlignment w:val="center"/>
              <w:rPr>
                <w:rFonts w:hint="eastAsia" w:ascii="宋体" w:hAnsi="宋体" w:cs="仿宋_GB2312"/>
                <w:color w:val="000000"/>
                <w:kern w:val="0"/>
                <w:sz w:val="18"/>
                <w:szCs w:val="18"/>
                <w:lang w:eastAsia="zh-CN"/>
              </w:rPr>
            </w:pPr>
            <w:r>
              <w:rPr>
                <w:rFonts w:hint="eastAsia" w:ascii="宋体" w:hAnsi="宋体" w:cs="仿宋_GB2312"/>
                <w:color w:val="000000"/>
                <w:kern w:val="0"/>
                <w:sz w:val="18"/>
                <w:szCs w:val="18"/>
                <w:lang w:eastAsia="zh-CN"/>
              </w:rPr>
              <w:t>一级片区</w:t>
            </w:r>
          </w:p>
        </w:tc>
        <w:tc>
          <w:tcPr>
            <w:tcW w:w="127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240" w:lineRule="exact"/>
              <w:jc w:val="center"/>
              <w:textAlignment w:val="center"/>
              <w:rPr>
                <w:rFonts w:hint="default" w:ascii="宋体" w:hAnsi="宋体" w:cs="仿宋_GB2312"/>
                <w:color w:val="000000"/>
                <w:kern w:val="0"/>
                <w:sz w:val="18"/>
                <w:szCs w:val="18"/>
                <w:lang w:val="en-US" w:eastAsia="zh-CN"/>
              </w:rPr>
            </w:pPr>
            <w:r>
              <w:rPr>
                <w:rFonts w:hint="eastAsia" w:ascii="宋体" w:hAnsi="宋体" w:cs="仿宋_GB2312"/>
                <w:color w:val="000000"/>
                <w:kern w:val="0"/>
                <w:sz w:val="18"/>
                <w:szCs w:val="18"/>
                <w:lang w:val="en-US" w:eastAsia="zh-CN"/>
              </w:rPr>
              <w:t>0.0062</w:t>
            </w:r>
          </w:p>
        </w:tc>
        <w:tc>
          <w:tcPr>
            <w:tcW w:w="214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240" w:lineRule="exact"/>
              <w:jc w:val="center"/>
              <w:textAlignment w:val="center"/>
              <w:rPr>
                <w:rFonts w:hint="default" w:ascii="宋体" w:hAnsi="宋体" w:cs="仿宋_GB2312"/>
                <w:color w:val="000000"/>
                <w:kern w:val="0"/>
                <w:sz w:val="18"/>
                <w:szCs w:val="18"/>
                <w:lang w:val="en-US" w:eastAsia="zh-CN"/>
              </w:rPr>
            </w:pPr>
            <w:r>
              <w:rPr>
                <w:rFonts w:hint="eastAsia" w:ascii="宋体" w:hAnsi="宋体" w:cs="仿宋_GB2312"/>
                <w:color w:val="000000"/>
                <w:kern w:val="0"/>
                <w:sz w:val="18"/>
                <w:szCs w:val="18"/>
                <w:lang w:val="en-US" w:eastAsia="zh-CN"/>
              </w:rPr>
              <w:t>61.5</w:t>
            </w:r>
          </w:p>
        </w:tc>
        <w:tc>
          <w:tcPr>
            <w:tcW w:w="2250"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240" w:lineRule="exact"/>
              <w:jc w:val="center"/>
              <w:textAlignment w:val="center"/>
              <w:rPr>
                <w:rFonts w:hint="default" w:ascii="宋体" w:hAnsi="宋体" w:cs="仿宋_GB2312"/>
                <w:color w:val="000000"/>
                <w:kern w:val="0"/>
                <w:sz w:val="18"/>
                <w:szCs w:val="18"/>
                <w:lang w:val="en-US" w:eastAsia="zh-CN"/>
              </w:rPr>
            </w:pPr>
            <w:r>
              <w:rPr>
                <w:rFonts w:hint="eastAsia" w:ascii="宋体" w:hAnsi="宋体" w:cs="仿宋_GB2312"/>
                <w:color w:val="000000"/>
                <w:kern w:val="0"/>
                <w:sz w:val="18"/>
                <w:szCs w:val="18"/>
                <w:lang w:val="en-US" w:eastAsia="zh-CN"/>
              </w:rPr>
              <w:t>0.3813</w:t>
            </w:r>
          </w:p>
        </w:tc>
      </w:tr>
      <w:tr>
        <w:tblPrEx>
          <w:tblCellMar>
            <w:top w:w="0" w:type="dxa"/>
            <w:left w:w="0" w:type="dxa"/>
            <w:bottom w:w="0" w:type="dxa"/>
            <w:right w:w="0" w:type="dxa"/>
          </w:tblCellMar>
        </w:tblPrEx>
        <w:trPr>
          <w:trHeight w:val="496" w:hRule="atLeast"/>
        </w:trPr>
        <w:tc>
          <w:tcPr>
            <w:tcW w:w="133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spacing w:line="240" w:lineRule="exact"/>
              <w:jc w:val="center"/>
              <w:textAlignment w:val="center"/>
              <w:rPr>
                <w:rFonts w:hint="eastAsia" w:ascii="宋体" w:hAnsi="宋体" w:cs="仿宋_GB2312"/>
                <w:color w:val="000000"/>
                <w:kern w:val="0"/>
                <w:sz w:val="18"/>
                <w:szCs w:val="18"/>
                <w:lang w:eastAsia="zh-CN"/>
              </w:rPr>
            </w:pPr>
            <w:r>
              <w:rPr>
                <w:rFonts w:hint="eastAsia" w:ascii="宋体" w:hAnsi="宋体" w:cs="仿宋_GB2312"/>
                <w:color w:val="000000"/>
                <w:kern w:val="0"/>
                <w:sz w:val="18"/>
                <w:szCs w:val="18"/>
                <w:lang w:eastAsia="zh-CN"/>
              </w:rPr>
              <w:t>草地</w:t>
            </w:r>
          </w:p>
        </w:tc>
        <w:tc>
          <w:tcPr>
            <w:tcW w:w="154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240" w:lineRule="exact"/>
              <w:jc w:val="center"/>
              <w:textAlignment w:val="center"/>
              <w:rPr>
                <w:rFonts w:hint="eastAsia" w:ascii="宋体" w:hAnsi="宋体" w:cs="仿宋_GB2312"/>
                <w:color w:val="000000"/>
                <w:kern w:val="0"/>
                <w:sz w:val="18"/>
                <w:szCs w:val="18"/>
                <w:lang w:eastAsia="zh-CN"/>
              </w:rPr>
            </w:pPr>
            <w:r>
              <w:rPr>
                <w:rFonts w:hint="eastAsia" w:ascii="宋体" w:hAnsi="宋体" w:cs="仿宋_GB2312"/>
                <w:color w:val="000000"/>
                <w:kern w:val="0"/>
                <w:sz w:val="18"/>
                <w:szCs w:val="18"/>
                <w:lang w:eastAsia="zh-CN"/>
              </w:rPr>
              <w:t>一级片区</w:t>
            </w:r>
          </w:p>
        </w:tc>
        <w:tc>
          <w:tcPr>
            <w:tcW w:w="127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240" w:lineRule="exact"/>
              <w:jc w:val="center"/>
              <w:textAlignment w:val="center"/>
              <w:rPr>
                <w:rFonts w:hint="default" w:ascii="宋体" w:hAnsi="宋体" w:cs="仿宋_GB2312"/>
                <w:color w:val="000000"/>
                <w:kern w:val="0"/>
                <w:sz w:val="18"/>
                <w:szCs w:val="18"/>
                <w:lang w:val="en-US" w:eastAsia="zh-CN"/>
              </w:rPr>
            </w:pPr>
            <w:r>
              <w:rPr>
                <w:rFonts w:hint="eastAsia" w:ascii="宋体" w:hAnsi="宋体" w:cs="仿宋_GB2312"/>
                <w:color w:val="000000"/>
                <w:kern w:val="0"/>
                <w:sz w:val="18"/>
                <w:szCs w:val="18"/>
                <w:lang w:val="en-US" w:eastAsia="zh-CN"/>
              </w:rPr>
              <w:t>0.0001</w:t>
            </w:r>
          </w:p>
        </w:tc>
        <w:tc>
          <w:tcPr>
            <w:tcW w:w="214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240" w:lineRule="exact"/>
              <w:jc w:val="center"/>
              <w:textAlignment w:val="center"/>
              <w:rPr>
                <w:rFonts w:hint="default" w:ascii="宋体" w:hAnsi="宋体" w:cs="仿宋_GB2312"/>
                <w:color w:val="000000"/>
                <w:kern w:val="0"/>
                <w:sz w:val="18"/>
                <w:szCs w:val="18"/>
                <w:lang w:val="en-US" w:eastAsia="zh-CN"/>
              </w:rPr>
            </w:pPr>
            <w:r>
              <w:rPr>
                <w:rFonts w:hint="eastAsia" w:ascii="宋体" w:hAnsi="宋体" w:cs="仿宋_GB2312"/>
                <w:color w:val="000000"/>
                <w:kern w:val="0"/>
                <w:sz w:val="18"/>
                <w:szCs w:val="18"/>
                <w:lang w:val="en-US" w:eastAsia="zh-CN"/>
              </w:rPr>
              <w:t>102</w:t>
            </w:r>
          </w:p>
        </w:tc>
        <w:tc>
          <w:tcPr>
            <w:tcW w:w="2250"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240" w:lineRule="exact"/>
              <w:jc w:val="center"/>
              <w:textAlignment w:val="center"/>
              <w:rPr>
                <w:rFonts w:hint="default" w:ascii="宋体" w:hAnsi="宋体" w:cs="仿宋_GB2312"/>
                <w:color w:val="000000"/>
                <w:kern w:val="0"/>
                <w:sz w:val="18"/>
                <w:szCs w:val="18"/>
                <w:lang w:val="en-US" w:eastAsia="zh-CN"/>
              </w:rPr>
            </w:pPr>
            <w:r>
              <w:rPr>
                <w:rFonts w:hint="eastAsia" w:ascii="宋体" w:hAnsi="宋体" w:cs="仿宋_GB2312"/>
                <w:color w:val="000000"/>
                <w:kern w:val="0"/>
                <w:sz w:val="18"/>
                <w:szCs w:val="18"/>
                <w:lang w:val="en-US" w:eastAsia="zh-CN"/>
              </w:rPr>
              <w:t>0.0102</w:t>
            </w:r>
          </w:p>
        </w:tc>
      </w:tr>
    </w:tbl>
    <w:p>
      <w:pPr>
        <w:spacing w:line="60" w:lineRule="exact"/>
        <w:rPr>
          <w:rFonts w:ascii="仿宋" w:hAnsi="仿宋" w:eastAsia="仿宋" w:cs="华文中宋"/>
          <w:sz w:val="32"/>
          <w:szCs w:val="32"/>
        </w:rPr>
      </w:pPr>
    </w:p>
    <w:p>
      <w:pPr>
        <w:spacing w:line="560" w:lineRule="exact"/>
        <w:ind w:firstLine="640" w:firstLineChars="200"/>
        <w:rPr>
          <w:rFonts w:ascii="仿宋" w:hAnsi="仿宋" w:eastAsia="仿宋" w:cs="华文中宋"/>
          <w:sz w:val="32"/>
          <w:szCs w:val="32"/>
        </w:rPr>
      </w:pPr>
      <w:r>
        <w:rPr>
          <w:rFonts w:hint="eastAsia" w:ascii="仿宋" w:hAnsi="仿宋" w:eastAsia="仿宋" w:cs="华文中宋"/>
          <w:sz w:val="32"/>
          <w:szCs w:val="32"/>
          <w:lang w:eastAsia="zh-CN"/>
        </w:rPr>
        <w:t>（二）</w:t>
      </w:r>
      <w:r>
        <w:rPr>
          <w:rFonts w:hint="eastAsia" w:ascii="仿宋" w:hAnsi="仿宋" w:eastAsia="仿宋" w:cs="华文中宋"/>
          <w:sz w:val="32"/>
          <w:szCs w:val="32"/>
        </w:rPr>
        <w:t>青苗及地上附着物经第三方评估机构按照《龙游县人民政府关于明确龙游县征地青苗、地上附着物、房屋及附属建（构）筑物补偿标准的通知》（龙政发〔2021〕28号）评估后确定。</w:t>
      </w:r>
    </w:p>
    <w:p>
      <w:pPr>
        <w:spacing w:line="560" w:lineRule="exact"/>
        <w:ind w:firstLine="640" w:firstLineChars="200"/>
        <w:rPr>
          <w:rFonts w:ascii="仿宋" w:hAnsi="仿宋" w:eastAsia="仿宋" w:cs="华文中宋"/>
          <w:sz w:val="32"/>
          <w:szCs w:val="32"/>
        </w:rPr>
      </w:pPr>
      <w:r>
        <w:rPr>
          <w:rFonts w:hint="eastAsia" w:ascii="仿宋" w:hAnsi="仿宋" w:eastAsia="仿宋" w:cs="华文中宋"/>
          <w:sz w:val="32"/>
          <w:szCs w:val="32"/>
          <w:lang w:eastAsia="zh-CN"/>
        </w:rPr>
        <w:t>（三）</w:t>
      </w:r>
      <w:r>
        <w:rPr>
          <w:rFonts w:hint="eastAsia" w:ascii="仿宋" w:hAnsi="仿宋" w:eastAsia="仿宋" w:cs="仿宋"/>
          <w:i w:val="0"/>
          <w:iCs w:val="0"/>
          <w:caps w:val="0"/>
          <w:color w:val="171A1D"/>
          <w:spacing w:val="0"/>
          <w:sz w:val="32"/>
          <w:szCs w:val="32"/>
          <w:shd w:val="clear" w:fill="FFFFFF"/>
        </w:rPr>
        <w:t>符合参加基本养老保险条件的被征地安置人口按《浙江省人力资源和社会保障厅 浙江省财政厅 浙江省自然资源厅 国家税务总局浙江省税务局关于进一步做好被征地农民参加基本养老保险有关工作的通知》（浙人社发〔2020〕61号）、《龙游县人民政府关于修改龙游县被征地农民基本生活保障实施办法部分内容的通知》（龙政发〔2018〕100号）、《龙游县人民政府办公室关于印发龙游县被征地农民基本生活保障参保工作规定的通知》（龙政办发〔2018〕50号）和《关于做好龙游县被征地农民参加基本养老保险政策衔接工作的通知》（龙人社〔2021〕22号）执行</w:t>
      </w:r>
      <w:r>
        <w:rPr>
          <w:rFonts w:hint="eastAsia" w:ascii="仿宋" w:hAnsi="仿宋" w:eastAsia="仿宋" w:cs="仿宋"/>
          <w:sz w:val="32"/>
          <w:szCs w:val="32"/>
        </w:rPr>
        <w:t>，</w:t>
      </w:r>
      <w:r>
        <w:rPr>
          <w:rFonts w:hint="eastAsia" w:ascii="仿宋" w:hAnsi="仿宋" w:eastAsia="仿宋" w:cs="华文中宋"/>
          <w:sz w:val="32"/>
          <w:szCs w:val="32"/>
        </w:rPr>
        <w:t>本次安置人口数</w:t>
      </w:r>
      <w:r>
        <w:rPr>
          <w:rFonts w:hint="eastAsia" w:ascii="仿宋" w:hAnsi="仿宋" w:eastAsia="仿宋" w:cs="华文中宋"/>
          <w:sz w:val="32"/>
          <w:szCs w:val="32"/>
          <w:lang w:eastAsia="zh-CN"/>
        </w:rPr>
        <w:t>为</w:t>
      </w:r>
      <w:r>
        <w:rPr>
          <w:rFonts w:hint="eastAsia" w:ascii="仿宋" w:hAnsi="仿宋" w:eastAsia="仿宋" w:cs="华文中宋"/>
          <w:sz w:val="32"/>
          <w:szCs w:val="32"/>
          <w:lang w:val="en-US" w:eastAsia="zh-CN"/>
        </w:rPr>
        <w:t>0人</w:t>
      </w:r>
      <w:r>
        <w:rPr>
          <w:rFonts w:hint="eastAsia" w:ascii="仿宋" w:hAnsi="仿宋" w:eastAsia="仿宋" w:cs="华文中宋"/>
          <w:sz w:val="32"/>
          <w:szCs w:val="32"/>
        </w:rPr>
        <w:t>。</w:t>
      </w:r>
    </w:p>
    <w:p>
      <w:pPr>
        <w:spacing w:line="560" w:lineRule="exact"/>
        <w:ind w:firstLine="640" w:firstLineChars="200"/>
        <w:rPr>
          <w:rFonts w:hint="eastAsia" w:ascii="仿宋" w:hAnsi="仿宋" w:eastAsia="仿宋" w:cs="华文中宋"/>
          <w:sz w:val="32"/>
          <w:szCs w:val="32"/>
        </w:rPr>
      </w:pPr>
      <w:r>
        <w:rPr>
          <w:rFonts w:hint="eastAsia" w:ascii="仿宋" w:hAnsi="仿宋" w:eastAsia="仿宋" w:cs="华文中宋"/>
          <w:sz w:val="32"/>
          <w:szCs w:val="32"/>
          <w:lang w:val="en-US" w:eastAsia="zh-CN"/>
        </w:rPr>
        <w:t>（四）</w:t>
      </w:r>
      <w:r>
        <w:rPr>
          <w:rFonts w:hint="eastAsia" w:ascii="仿宋" w:hAnsi="仿宋" w:eastAsia="仿宋" w:cs="华文中宋"/>
          <w:sz w:val="32"/>
          <w:szCs w:val="32"/>
        </w:rPr>
        <w:t>鼓励被征地农民按照市、县有关规定参加就业培训。</w:t>
      </w:r>
    </w:p>
    <w:p>
      <w:pPr>
        <w:spacing w:line="560" w:lineRule="exact"/>
        <w:ind w:firstLine="616" w:firstLineChars="200"/>
        <w:rPr>
          <w:rFonts w:hint="eastAsia" w:ascii="黑体" w:hAnsi="黑体" w:eastAsia="黑体" w:cs="华文中宋"/>
          <w:spacing w:val="-6"/>
          <w:sz w:val="32"/>
          <w:szCs w:val="32"/>
          <w:lang w:val="en-US" w:eastAsia="zh-CN"/>
        </w:rPr>
      </w:pPr>
      <w:r>
        <w:rPr>
          <w:rFonts w:hint="eastAsia" w:ascii="黑体" w:hAnsi="黑体" w:eastAsia="黑体" w:cs="华文中宋"/>
          <w:spacing w:val="-6"/>
          <w:sz w:val="32"/>
          <w:szCs w:val="32"/>
          <w:lang w:val="en-US" w:eastAsia="zh-CN"/>
        </w:rPr>
        <w:t>三、本项目不涉及农村村民住宅搬迁</w:t>
      </w:r>
      <w:r>
        <w:rPr>
          <w:rFonts w:hint="default" w:ascii="黑体" w:hAnsi="黑体" w:eastAsia="黑体" w:cs="华文中宋"/>
          <w:spacing w:val="-6"/>
          <w:sz w:val="32"/>
          <w:szCs w:val="32"/>
          <w:lang w:val="en-US" w:eastAsia="zh-CN"/>
        </w:rPr>
        <w:t>。</w:t>
      </w:r>
    </w:p>
    <w:p>
      <w:pPr>
        <w:spacing w:line="560" w:lineRule="exact"/>
        <w:ind w:firstLine="616" w:firstLineChars="200"/>
        <w:rPr>
          <w:rFonts w:hint="eastAsia" w:ascii="黑体" w:hAnsi="黑体" w:eastAsia="黑体" w:cs="华文中宋"/>
          <w:spacing w:val="-6"/>
          <w:sz w:val="32"/>
          <w:szCs w:val="32"/>
          <w:lang w:eastAsia="zh-CN"/>
        </w:rPr>
      </w:pPr>
      <w:r>
        <w:rPr>
          <w:rFonts w:hint="eastAsia" w:ascii="黑体" w:hAnsi="黑体" w:eastAsia="黑体" w:cs="华文中宋"/>
          <w:spacing w:val="-6"/>
          <w:sz w:val="32"/>
          <w:szCs w:val="32"/>
          <w:lang w:eastAsia="zh-CN"/>
        </w:rPr>
        <w:t>四、</w:t>
      </w:r>
      <w:r>
        <w:rPr>
          <w:rFonts w:hint="eastAsia" w:ascii="黑体" w:hAnsi="黑体" w:eastAsia="黑体" w:cs="华文中宋"/>
          <w:spacing w:val="-6"/>
          <w:sz w:val="32"/>
          <w:szCs w:val="32"/>
        </w:rPr>
        <w:t>其他补偿按照</w:t>
      </w:r>
      <w:r>
        <w:rPr>
          <w:rFonts w:hint="eastAsia" w:ascii="黑体" w:hAnsi="黑体" w:eastAsia="黑体" w:cs="华文中宋"/>
          <w:spacing w:val="-6"/>
          <w:sz w:val="32"/>
          <w:szCs w:val="32"/>
          <w:lang w:val="en-US" w:eastAsia="zh-CN"/>
        </w:rPr>
        <w:t>《龙游县人民政府关于重新公布龙游县征地区片综合价补偿办法的通知》（龙政发〔2023〕99号）</w:t>
      </w:r>
      <w:r>
        <w:rPr>
          <w:rFonts w:hint="default" w:ascii="黑体" w:hAnsi="黑体" w:eastAsia="黑体" w:cs="华文中宋"/>
          <w:spacing w:val="-6"/>
          <w:sz w:val="32"/>
          <w:szCs w:val="32"/>
          <w:lang w:val="en-US" w:eastAsia="zh-CN"/>
        </w:rPr>
        <w:t>规定</w:t>
      </w:r>
      <w:r>
        <w:rPr>
          <w:rFonts w:hint="default" w:ascii="黑体" w:hAnsi="黑体" w:eastAsia="黑体" w:cs="华文中宋"/>
          <w:spacing w:val="-6"/>
          <w:sz w:val="32"/>
          <w:szCs w:val="32"/>
        </w:rPr>
        <w:t>标准予以补偿。</w:t>
      </w:r>
    </w:p>
    <w:p>
      <w:pPr>
        <w:spacing w:line="560" w:lineRule="exact"/>
        <w:ind w:firstLine="640" w:firstLineChars="200"/>
        <w:rPr>
          <w:rFonts w:hint="eastAsia" w:ascii="黑体" w:hAnsi="黑体" w:eastAsia="黑体" w:cs="华文中宋"/>
          <w:spacing w:val="-6"/>
          <w:sz w:val="32"/>
          <w:szCs w:val="32"/>
        </w:rPr>
        <w:sectPr>
          <w:pgSz w:w="11907" w:h="16840"/>
          <w:pgMar w:top="2098" w:right="1474" w:bottom="1984" w:left="1587" w:header="851" w:footer="1417" w:gutter="0"/>
          <w:cols w:space="720" w:num="1"/>
          <w:docGrid w:type="lines" w:linePitch="579" w:charSpace="0"/>
        </w:sectPr>
      </w:pPr>
      <w:r>
        <w:rPr>
          <w:rFonts w:hint="eastAsia" w:ascii="黑体" w:hAnsi="黑体" w:eastAsia="黑体" w:cs="华文中宋"/>
          <w:sz w:val="32"/>
          <w:szCs w:val="32"/>
          <w:lang w:eastAsia="zh-CN"/>
        </w:rPr>
        <w:t>五</w:t>
      </w:r>
      <w:r>
        <w:rPr>
          <w:rFonts w:hint="eastAsia" w:ascii="黑体" w:hAnsi="黑体" w:eastAsia="黑体" w:cs="华文中宋"/>
          <w:spacing w:val="-6"/>
          <w:sz w:val="32"/>
          <w:szCs w:val="32"/>
        </w:rPr>
        <w:t>、土地征收经批准后，龙游县人民政府按方案内容组织实施。</w:t>
      </w:r>
    </w:p>
    <w:p>
      <w:pPr>
        <w:spacing w:line="520" w:lineRule="exact"/>
        <w:jc w:val="left"/>
        <w:rPr>
          <w:rFonts w:hint="default" w:ascii="黑体" w:hAnsi="黑体" w:eastAsia="黑体" w:cs="华文中宋"/>
          <w:sz w:val="32"/>
          <w:szCs w:val="32"/>
          <w:lang w:val="en-US" w:eastAsia="zh-CN"/>
        </w:rPr>
      </w:pPr>
      <w:r>
        <w:rPr>
          <w:rFonts w:hint="eastAsia" w:ascii="黑体" w:hAnsi="黑体" w:eastAsia="黑体" w:cs="华文中宋"/>
          <w:sz w:val="32"/>
          <w:szCs w:val="32"/>
          <w:lang w:eastAsia="zh-CN"/>
        </w:rPr>
        <w:t>附件</w:t>
      </w:r>
      <w:r>
        <w:rPr>
          <w:rFonts w:hint="eastAsia" w:ascii="黑体" w:hAnsi="黑体" w:eastAsia="黑体" w:cs="华文中宋"/>
          <w:sz w:val="32"/>
          <w:szCs w:val="32"/>
          <w:lang w:val="en-US" w:eastAsia="zh-CN"/>
        </w:rPr>
        <w:t>2</w:t>
      </w:r>
    </w:p>
    <w:p>
      <w:pPr>
        <w:autoSpaceDE w:val="0"/>
        <w:adjustRightInd w:val="0"/>
        <w:snapToGrid w:val="0"/>
        <w:ind w:right="84" w:rightChars="40"/>
        <w:jc w:val="center"/>
        <w:rPr>
          <w:rFonts w:hint="eastAsia" w:ascii="方正小标宋简体" w:hAnsi="宋体" w:eastAsia="方正小标宋简体" w:cs="宋体"/>
          <w:color w:val="000000"/>
          <w:kern w:val="0"/>
          <w:sz w:val="44"/>
          <w:szCs w:val="44"/>
          <w:lang w:val="en-US" w:eastAsia="zh-CN"/>
        </w:rPr>
      </w:pPr>
      <w:r>
        <w:rPr>
          <w:rFonts w:hint="eastAsia" w:ascii="方正小标宋简体" w:hAnsi="宋体" w:eastAsia="方正小标宋简体" w:cs="宋体"/>
          <w:color w:val="000000"/>
          <w:kern w:val="0"/>
          <w:sz w:val="44"/>
          <w:szCs w:val="44"/>
          <w:lang w:val="en-US" w:eastAsia="zh-CN"/>
        </w:rPr>
        <w:t>勘测定界图</w:t>
      </w:r>
    </w:p>
    <w:p>
      <w:pPr>
        <w:autoSpaceDE w:val="0"/>
        <w:adjustRightInd w:val="0"/>
        <w:snapToGrid w:val="0"/>
        <w:ind w:right="84" w:rightChars="40"/>
        <w:jc w:val="center"/>
        <w:rPr>
          <w:rFonts w:hint="eastAsia" w:ascii="方正小标宋简体" w:hAnsi="宋体" w:eastAsia="方正小标宋简体" w:cs="宋体"/>
          <w:color w:val="000000"/>
          <w:kern w:val="0"/>
          <w:sz w:val="44"/>
          <w:szCs w:val="44"/>
          <w:lang w:val="en-US" w:eastAsia="zh-CN"/>
        </w:rPr>
      </w:pPr>
      <w:r>
        <w:rPr>
          <w:rFonts w:hint="eastAsia" w:ascii="方正小标宋简体" w:hAnsi="宋体" w:eastAsia="方正小标宋简体" w:cs="宋体"/>
          <w:color w:val="000000"/>
          <w:kern w:val="0"/>
          <w:sz w:val="44"/>
          <w:szCs w:val="44"/>
          <w:lang w:val="en-US" w:eastAsia="zh-CN"/>
        </w:rPr>
        <w:drawing>
          <wp:inline distT="0" distB="0" distL="114300" distR="114300">
            <wp:extent cx="6621780" cy="4726940"/>
            <wp:effectExtent l="0" t="0" r="0" b="0"/>
            <wp:docPr id="1" name="图片 1" descr="勘测定界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勘测定界图_00"/>
                    <pic:cNvPicPr>
                      <a:picLocks noChangeAspect="1"/>
                    </pic:cNvPicPr>
                  </pic:nvPicPr>
                  <pic:blipFill>
                    <a:blip r:embed="rId4"/>
                    <a:srcRect l="5484" t="7787" r="4882" b="1643"/>
                    <a:stretch>
                      <a:fillRect/>
                    </a:stretch>
                  </pic:blipFill>
                  <pic:spPr>
                    <a:xfrm>
                      <a:off x="0" y="0"/>
                      <a:ext cx="6621780" cy="4726940"/>
                    </a:xfrm>
                    <a:prstGeom prst="rect">
                      <a:avLst/>
                    </a:prstGeom>
                  </pic:spPr>
                </pic:pic>
              </a:graphicData>
            </a:graphic>
          </wp:inline>
        </w:drawing>
      </w:r>
    </w:p>
    <w:p>
      <w:pPr>
        <w:autoSpaceDE w:val="0"/>
        <w:adjustRightInd w:val="0"/>
        <w:snapToGrid w:val="0"/>
        <w:ind w:right="84" w:rightChars="40"/>
        <w:jc w:val="center"/>
        <w:rPr>
          <w:rFonts w:hint="default" w:ascii="方正小标宋简体" w:hAnsi="宋体" w:eastAsia="方正小标宋简体" w:cs="宋体"/>
          <w:color w:val="000000"/>
          <w:kern w:val="0"/>
          <w:sz w:val="44"/>
          <w:szCs w:val="44"/>
          <w:lang w:val="en-US" w:eastAsia="zh-CN"/>
        </w:rPr>
        <w:sectPr>
          <w:pgSz w:w="16840" w:h="11907" w:orient="landscape"/>
          <w:pgMar w:top="1587" w:right="2098" w:bottom="1474" w:left="1984" w:header="851" w:footer="1417" w:gutter="0"/>
          <w:cols w:space="720" w:num="1"/>
          <w:docGrid w:type="lines" w:linePitch="579" w:charSpace="0"/>
        </w:sectPr>
      </w:pPr>
    </w:p>
    <w:p>
      <w:pPr>
        <w:spacing w:line="520" w:lineRule="exact"/>
        <w:jc w:val="left"/>
        <w:rPr>
          <w:rFonts w:hint="default" w:ascii="黑体" w:hAnsi="黑体" w:eastAsia="黑体" w:cs="华文中宋"/>
          <w:sz w:val="32"/>
          <w:szCs w:val="32"/>
          <w:lang w:val="en-US" w:eastAsia="zh-CN"/>
        </w:rPr>
      </w:pPr>
      <w:r>
        <w:rPr>
          <w:rFonts w:hint="eastAsia" w:ascii="黑体" w:hAnsi="黑体" w:eastAsia="黑体" w:cs="华文中宋"/>
          <w:sz w:val="32"/>
          <w:szCs w:val="32"/>
          <w:lang w:eastAsia="zh-CN"/>
        </w:rPr>
        <w:t>附件</w:t>
      </w:r>
      <w:r>
        <w:rPr>
          <w:rFonts w:hint="eastAsia" w:ascii="黑体" w:hAnsi="黑体" w:eastAsia="黑体" w:cs="华文中宋"/>
          <w:sz w:val="32"/>
          <w:szCs w:val="32"/>
          <w:lang w:val="en-US" w:eastAsia="zh-CN"/>
        </w:rPr>
        <w:t>3</w:t>
      </w:r>
    </w:p>
    <w:p>
      <w:pPr>
        <w:autoSpaceDE w:val="0"/>
        <w:adjustRightInd w:val="0"/>
        <w:snapToGrid w:val="0"/>
        <w:ind w:right="84" w:rightChars="40"/>
        <w:jc w:val="center"/>
        <w:rPr>
          <w:rFonts w:hint="eastAsia" w:ascii="方正小标宋简体" w:hAnsi="宋体" w:eastAsia="方正小标宋简体" w:cs="宋体"/>
          <w:color w:val="000000"/>
          <w:kern w:val="0"/>
          <w:sz w:val="44"/>
          <w:szCs w:val="44"/>
          <w:lang w:val="en-US" w:eastAsia="zh-CN"/>
        </w:rPr>
      </w:pPr>
      <w:r>
        <w:rPr>
          <w:rFonts w:hint="eastAsia" w:ascii="方正小标宋简体" w:hAnsi="宋体" w:eastAsia="方正小标宋简体" w:cs="宋体"/>
          <w:color w:val="000000"/>
          <w:kern w:val="0"/>
          <w:sz w:val="44"/>
          <w:szCs w:val="44"/>
          <w:lang w:val="en-US" w:eastAsia="zh-CN"/>
        </w:rPr>
        <w:t>勘测定界表</w:t>
      </w:r>
    </w:p>
    <w:p>
      <w:pPr>
        <w:autoSpaceDE w:val="0"/>
        <w:adjustRightInd w:val="0"/>
        <w:snapToGrid w:val="0"/>
        <w:ind w:right="84" w:rightChars="40"/>
        <w:jc w:val="center"/>
        <w:rPr>
          <w:rFonts w:hint="eastAsia" w:ascii="方正小标宋简体" w:hAnsi="宋体" w:eastAsia="方正小标宋简体" w:cs="宋体"/>
          <w:color w:val="000000"/>
          <w:kern w:val="0"/>
          <w:sz w:val="44"/>
          <w:szCs w:val="44"/>
          <w:lang w:val="en-US" w:eastAsia="zh-CN"/>
        </w:rPr>
      </w:pPr>
      <w:r>
        <w:rPr>
          <w:rFonts w:hint="eastAsia" w:ascii="方正小标宋简体" w:hAnsi="宋体" w:eastAsia="方正小标宋简体" w:cs="宋体"/>
          <w:color w:val="000000"/>
          <w:kern w:val="0"/>
          <w:sz w:val="44"/>
          <w:szCs w:val="44"/>
          <w:lang w:val="en-US" w:eastAsia="zh-CN"/>
        </w:rPr>
        <w:drawing>
          <wp:inline distT="0" distB="0" distL="114300" distR="114300">
            <wp:extent cx="7413625" cy="4819650"/>
            <wp:effectExtent l="0" t="0" r="0" b="0"/>
            <wp:docPr id="2" name="图片 2" descr="勘测定界表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勘测定界表_00"/>
                    <pic:cNvPicPr>
                      <a:picLocks noChangeAspect="1"/>
                    </pic:cNvPicPr>
                  </pic:nvPicPr>
                  <pic:blipFill>
                    <a:blip r:embed="rId5"/>
                    <a:srcRect l="3443" t="5643" r="3291" b="8527"/>
                    <a:stretch>
                      <a:fillRect/>
                    </a:stretch>
                  </pic:blipFill>
                  <pic:spPr>
                    <a:xfrm>
                      <a:off x="0" y="0"/>
                      <a:ext cx="7413625" cy="4819650"/>
                    </a:xfrm>
                    <a:prstGeom prst="rect">
                      <a:avLst/>
                    </a:prstGeom>
                  </pic:spPr>
                </pic:pic>
              </a:graphicData>
            </a:graphic>
          </wp:inline>
        </w:drawing>
      </w:r>
    </w:p>
    <w:p>
      <w:pPr>
        <w:spacing w:line="520" w:lineRule="exact"/>
        <w:jc w:val="left"/>
        <w:rPr>
          <w:rFonts w:hint="eastAsia" w:ascii="黑体" w:hAnsi="黑体" w:eastAsia="黑体" w:cs="华文中宋"/>
          <w:sz w:val="32"/>
          <w:szCs w:val="32"/>
          <w:lang w:val="en-US" w:eastAsia="zh-CN"/>
        </w:rPr>
        <w:sectPr>
          <w:pgSz w:w="16840" w:h="11907" w:orient="landscape"/>
          <w:pgMar w:top="1587" w:right="2098" w:bottom="1474" w:left="1984" w:header="851" w:footer="1417" w:gutter="0"/>
          <w:cols w:space="720" w:num="1"/>
          <w:docGrid w:type="lines" w:linePitch="579" w:charSpace="0"/>
        </w:sectPr>
      </w:pPr>
    </w:p>
    <w:p>
      <w:pPr>
        <w:spacing w:line="520" w:lineRule="exact"/>
        <w:jc w:val="left"/>
        <w:rPr>
          <w:rFonts w:hint="eastAsia" w:ascii="黑体" w:hAnsi="黑体" w:eastAsia="黑体" w:cs="华文中宋"/>
          <w:sz w:val="32"/>
          <w:szCs w:val="32"/>
          <w:lang w:val="en-US" w:eastAsia="zh-CN"/>
        </w:rPr>
      </w:pPr>
      <w:r>
        <w:rPr>
          <w:rFonts w:hint="eastAsia" w:ascii="黑体" w:hAnsi="黑体" w:eastAsia="黑体" w:cs="华文中宋"/>
          <w:sz w:val="32"/>
          <w:szCs w:val="32"/>
        </w:rPr>
        <w:t>附件</w:t>
      </w:r>
      <w:r>
        <w:rPr>
          <w:rFonts w:hint="eastAsia" w:ascii="黑体" w:hAnsi="黑体" w:eastAsia="黑体" w:cs="华文中宋"/>
          <w:sz w:val="32"/>
          <w:szCs w:val="32"/>
          <w:lang w:val="en-US" w:eastAsia="zh-CN"/>
        </w:rPr>
        <w:t>4</w:t>
      </w:r>
    </w:p>
    <w:p>
      <w:pPr>
        <w:autoSpaceDE w:val="0"/>
        <w:adjustRightInd w:val="0"/>
        <w:snapToGrid w:val="0"/>
        <w:ind w:right="84" w:rightChars="40"/>
        <w:jc w:val="center"/>
        <w:rPr>
          <w:rFonts w:hint="eastAsia" w:ascii="方正小标宋简体" w:hAnsi="宋体" w:eastAsia="方正小标宋简体" w:cs="宋体"/>
          <w:color w:val="000000"/>
          <w:kern w:val="0"/>
          <w:sz w:val="44"/>
          <w:szCs w:val="44"/>
        </w:rPr>
      </w:pPr>
      <w:r>
        <w:rPr>
          <w:rFonts w:hint="eastAsia" w:ascii="方正小标宋简体" w:hAnsi="宋体" w:eastAsia="方正小标宋简体" w:cs="宋体"/>
          <w:color w:val="000000"/>
          <w:kern w:val="0"/>
          <w:sz w:val="44"/>
          <w:szCs w:val="44"/>
        </w:rPr>
        <w:t>集体土地使用权调查表</w:t>
      </w:r>
    </w:p>
    <w:p>
      <w:pPr>
        <w:autoSpaceDE w:val="0"/>
        <w:adjustRightInd w:val="0"/>
        <w:snapToGrid w:val="0"/>
        <w:ind w:right="84" w:rightChars="40"/>
        <w:jc w:val="center"/>
        <w:rPr>
          <w:rFonts w:hint="eastAsia" w:ascii="方正小标宋简体" w:hAnsi="宋体" w:eastAsia="方正小标宋简体" w:cs="宋体"/>
          <w:color w:val="000000"/>
          <w:kern w:val="0"/>
          <w:sz w:val="44"/>
          <w:szCs w:val="44"/>
          <w:lang w:eastAsia="zh-CN"/>
        </w:rPr>
      </w:pPr>
      <w:r>
        <w:rPr>
          <w:rFonts w:hint="eastAsia" w:ascii="方正小标宋简体" w:hAnsi="宋体" w:eastAsia="方正小标宋简体" w:cs="宋体"/>
          <w:color w:val="000000"/>
          <w:kern w:val="0"/>
          <w:sz w:val="44"/>
          <w:szCs w:val="44"/>
          <w:lang w:eastAsia="zh-CN"/>
        </w:rPr>
        <w:drawing>
          <wp:inline distT="0" distB="0" distL="114300" distR="114300">
            <wp:extent cx="5271135" cy="7456805"/>
            <wp:effectExtent l="0" t="0" r="5715" b="10795"/>
            <wp:docPr id="3" name="图片 3" descr="土地表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土地表_00"/>
                    <pic:cNvPicPr>
                      <a:picLocks noChangeAspect="1"/>
                    </pic:cNvPicPr>
                  </pic:nvPicPr>
                  <pic:blipFill>
                    <a:blip r:embed="rId6"/>
                    <a:stretch>
                      <a:fillRect/>
                    </a:stretch>
                  </pic:blipFill>
                  <pic:spPr>
                    <a:xfrm>
                      <a:off x="0" y="0"/>
                      <a:ext cx="5271135" cy="7456805"/>
                    </a:xfrm>
                    <a:prstGeom prst="rect">
                      <a:avLst/>
                    </a:prstGeom>
                  </pic:spPr>
                </pic:pic>
              </a:graphicData>
            </a:graphic>
          </wp:inline>
        </w:drawing>
      </w:r>
    </w:p>
    <w:p>
      <w:pPr>
        <w:autoSpaceDE w:val="0"/>
        <w:adjustRightInd w:val="0"/>
        <w:snapToGrid w:val="0"/>
        <w:ind w:right="84" w:rightChars="40"/>
        <w:jc w:val="center"/>
        <w:rPr>
          <w:rFonts w:hint="eastAsia" w:ascii="方正小标宋简体" w:hAnsi="宋体" w:eastAsia="方正小标宋简体" w:cs="宋体"/>
          <w:color w:val="000000"/>
          <w:kern w:val="0"/>
          <w:sz w:val="44"/>
          <w:szCs w:val="44"/>
          <w:lang w:eastAsia="zh-CN"/>
        </w:rPr>
      </w:pPr>
    </w:p>
    <w:p>
      <w:pPr>
        <w:autoSpaceDE w:val="0"/>
        <w:adjustRightInd w:val="0"/>
        <w:snapToGrid w:val="0"/>
        <w:ind w:right="84" w:rightChars="40"/>
        <w:jc w:val="left"/>
        <w:rPr>
          <w:rFonts w:hint="eastAsia" w:ascii="黑体" w:hAnsi="黑体" w:eastAsia="黑体" w:cs="华文中宋"/>
          <w:sz w:val="32"/>
          <w:szCs w:val="32"/>
          <w:lang w:val="en-US" w:eastAsia="zh-CN"/>
        </w:rPr>
      </w:pPr>
      <w:r>
        <w:rPr>
          <w:rFonts w:hint="eastAsia" w:ascii="黑体" w:hAnsi="黑体" w:eastAsia="黑体" w:cs="华文中宋"/>
          <w:sz w:val="32"/>
          <w:szCs w:val="32"/>
        </w:rPr>
        <w:t>附件</w:t>
      </w:r>
      <w:r>
        <w:rPr>
          <w:rFonts w:hint="eastAsia" w:ascii="黑体" w:hAnsi="黑体" w:eastAsia="黑体" w:cs="华文中宋"/>
          <w:sz w:val="32"/>
          <w:szCs w:val="32"/>
          <w:lang w:val="en-US" w:eastAsia="zh-CN"/>
        </w:rPr>
        <w:t>5</w:t>
      </w:r>
    </w:p>
    <w:p>
      <w:pPr>
        <w:autoSpaceDE w:val="0"/>
        <w:adjustRightInd w:val="0"/>
        <w:snapToGrid w:val="0"/>
        <w:ind w:right="84" w:rightChars="40"/>
        <w:jc w:val="center"/>
        <w:rPr>
          <w:rFonts w:hint="eastAsia" w:ascii="方正小标宋简体" w:hAnsi="宋体" w:eastAsia="方正小标宋简体" w:cs="宋体"/>
          <w:color w:val="000000"/>
          <w:kern w:val="0"/>
          <w:sz w:val="44"/>
          <w:szCs w:val="44"/>
        </w:rPr>
      </w:pPr>
      <w:r>
        <w:rPr>
          <w:rFonts w:hint="eastAsia" w:ascii="方正小标宋简体" w:hAnsi="宋体" w:eastAsia="方正小标宋简体" w:cs="宋体"/>
          <w:color w:val="000000"/>
          <w:kern w:val="0"/>
          <w:sz w:val="44"/>
          <w:szCs w:val="44"/>
        </w:rPr>
        <w:t>地上附着物</w:t>
      </w:r>
      <w:r>
        <w:rPr>
          <w:rFonts w:hint="eastAsia" w:ascii="方正小标宋简体" w:hAnsi="宋体" w:eastAsia="方正小标宋简体" w:cs="宋体"/>
          <w:color w:val="000000"/>
          <w:kern w:val="0"/>
          <w:sz w:val="44"/>
          <w:szCs w:val="44"/>
          <w:lang w:eastAsia="zh-CN"/>
        </w:rPr>
        <w:t>和青苗</w:t>
      </w:r>
      <w:r>
        <w:rPr>
          <w:rFonts w:hint="eastAsia" w:ascii="方正小标宋简体" w:hAnsi="宋体" w:eastAsia="方正小标宋简体" w:cs="宋体"/>
          <w:color w:val="000000"/>
          <w:kern w:val="0"/>
          <w:sz w:val="44"/>
          <w:szCs w:val="44"/>
        </w:rPr>
        <w:t>调查表</w:t>
      </w:r>
    </w:p>
    <w:p>
      <w:pPr>
        <w:autoSpaceDE w:val="0"/>
        <w:adjustRightInd w:val="0"/>
        <w:snapToGrid w:val="0"/>
        <w:ind w:right="84" w:rightChars="40"/>
        <w:jc w:val="center"/>
        <w:rPr>
          <w:rFonts w:hint="eastAsia" w:ascii="方正小标宋简体" w:hAnsi="宋体" w:eastAsia="方正小标宋简体" w:cs="宋体"/>
          <w:color w:val="000000"/>
          <w:kern w:val="0"/>
          <w:sz w:val="44"/>
          <w:szCs w:val="44"/>
          <w:lang w:eastAsia="zh-CN"/>
        </w:rPr>
      </w:pPr>
      <w:r>
        <w:rPr>
          <w:rFonts w:hint="eastAsia" w:ascii="方正小标宋简体" w:hAnsi="宋体" w:eastAsia="方正小标宋简体" w:cs="宋体"/>
          <w:color w:val="000000"/>
          <w:kern w:val="0"/>
          <w:sz w:val="44"/>
          <w:szCs w:val="44"/>
          <w:lang w:eastAsia="zh-CN"/>
        </w:rPr>
        <w:drawing>
          <wp:inline distT="0" distB="0" distL="114300" distR="114300">
            <wp:extent cx="5267960" cy="7456805"/>
            <wp:effectExtent l="0" t="0" r="8890" b="10795"/>
            <wp:docPr id="4" name="图片 4" descr="青苗表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青苗表_00"/>
                    <pic:cNvPicPr>
                      <a:picLocks noChangeAspect="1"/>
                    </pic:cNvPicPr>
                  </pic:nvPicPr>
                  <pic:blipFill>
                    <a:blip r:embed="rId7"/>
                    <a:stretch>
                      <a:fillRect/>
                    </a:stretch>
                  </pic:blipFill>
                  <pic:spPr>
                    <a:xfrm>
                      <a:off x="0" y="0"/>
                      <a:ext cx="5267960" cy="7456805"/>
                    </a:xfrm>
                    <a:prstGeom prst="rect">
                      <a:avLst/>
                    </a:prstGeom>
                  </pic:spPr>
                </pic:pic>
              </a:graphicData>
            </a:graphic>
          </wp:inline>
        </w:drawing>
      </w:r>
    </w:p>
    <w:p>
      <w:pPr>
        <w:autoSpaceDE w:val="0"/>
        <w:adjustRightInd w:val="0"/>
        <w:snapToGrid w:val="0"/>
        <w:ind w:right="84" w:rightChars="40"/>
        <w:jc w:val="center"/>
        <w:rPr>
          <w:rFonts w:hint="eastAsia" w:ascii="方正小标宋简体" w:hAnsi="宋体" w:eastAsia="方正小标宋简体" w:cs="宋体"/>
          <w:color w:val="000000"/>
          <w:kern w:val="0"/>
          <w:sz w:val="44"/>
          <w:szCs w:val="44"/>
          <w:lang w:eastAsia="zh-CN"/>
        </w:rPr>
      </w:pPr>
    </w:p>
    <w:p>
      <w:pPr>
        <w:autoSpaceDE w:val="0"/>
        <w:adjustRightInd w:val="0"/>
        <w:snapToGrid w:val="0"/>
        <w:ind w:right="84" w:rightChars="40"/>
        <w:jc w:val="cente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altName w:val="Arial"/>
    <w:panose1 w:val="020B0606020202030204"/>
    <w:charset w:val="00"/>
    <w:family w:val="swiss"/>
    <w:pitch w:val="default"/>
    <w:sig w:usb0="00000000" w:usb1="00000000" w:usb2="00000000" w:usb3="00000000" w:csb0="2000009F" w:csb1="DFD7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57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WFjODYwNmY4YjE1MmNhNjQ2ODIzNjRjNjU4MDZmZDUifQ=="/>
  </w:docVars>
  <w:rsids>
    <w:rsidRoot w:val="00330672"/>
    <w:rsid w:val="00012BA3"/>
    <w:rsid w:val="00055FC9"/>
    <w:rsid w:val="001B2BA8"/>
    <w:rsid w:val="00220A80"/>
    <w:rsid w:val="002500ED"/>
    <w:rsid w:val="002A0BC6"/>
    <w:rsid w:val="002D74EE"/>
    <w:rsid w:val="002E084B"/>
    <w:rsid w:val="00330672"/>
    <w:rsid w:val="00386F38"/>
    <w:rsid w:val="003C5CEE"/>
    <w:rsid w:val="003F7456"/>
    <w:rsid w:val="004200FE"/>
    <w:rsid w:val="00461F34"/>
    <w:rsid w:val="004B6B26"/>
    <w:rsid w:val="004E5553"/>
    <w:rsid w:val="004F60C2"/>
    <w:rsid w:val="00580803"/>
    <w:rsid w:val="00604C14"/>
    <w:rsid w:val="0064186C"/>
    <w:rsid w:val="006E6C44"/>
    <w:rsid w:val="00717571"/>
    <w:rsid w:val="00750825"/>
    <w:rsid w:val="007D23DD"/>
    <w:rsid w:val="00860CEE"/>
    <w:rsid w:val="00862B10"/>
    <w:rsid w:val="0090024F"/>
    <w:rsid w:val="00A02014"/>
    <w:rsid w:val="00A8383C"/>
    <w:rsid w:val="00B517A0"/>
    <w:rsid w:val="00C54129"/>
    <w:rsid w:val="00C84B0B"/>
    <w:rsid w:val="00CB665E"/>
    <w:rsid w:val="00CC6317"/>
    <w:rsid w:val="00E35687"/>
    <w:rsid w:val="00E4340E"/>
    <w:rsid w:val="00E43448"/>
    <w:rsid w:val="00ED19DC"/>
    <w:rsid w:val="00F058DC"/>
    <w:rsid w:val="00F3605A"/>
    <w:rsid w:val="00F76A62"/>
    <w:rsid w:val="00FA6F98"/>
    <w:rsid w:val="00FB25FA"/>
    <w:rsid w:val="00FC0FA9"/>
    <w:rsid w:val="00FF3539"/>
    <w:rsid w:val="061F12D8"/>
    <w:rsid w:val="09A97E92"/>
    <w:rsid w:val="09AD1982"/>
    <w:rsid w:val="0D036CE8"/>
    <w:rsid w:val="0E7A694A"/>
    <w:rsid w:val="11C0315A"/>
    <w:rsid w:val="15F21A9F"/>
    <w:rsid w:val="161B59B2"/>
    <w:rsid w:val="1B9E0A9D"/>
    <w:rsid w:val="1BDE2FF7"/>
    <w:rsid w:val="1DC4028F"/>
    <w:rsid w:val="2065026B"/>
    <w:rsid w:val="21DD4744"/>
    <w:rsid w:val="23692D78"/>
    <w:rsid w:val="23DF0BAE"/>
    <w:rsid w:val="24574F34"/>
    <w:rsid w:val="24F825C5"/>
    <w:rsid w:val="26B200CA"/>
    <w:rsid w:val="26DD7870"/>
    <w:rsid w:val="28BF5700"/>
    <w:rsid w:val="29381DBA"/>
    <w:rsid w:val="2D3E2EBA"/>
    <w:rsid w:val="2FAB5815"/>
    <w:rsid w:val="2FCB7966"/>
    <w:rsid w:val="32243CA7"/>
    <w:rsid w:val="34FB23F4"/>
    <w:rsid w:val="39067547"/>
    <w:rsid w:val="39311DAD"/>
    <w:rsid w:val="3B001843"/>
    <w:rsid w:val="3B83111E"/>
    <w:rsid w:val="3CD65B50"/>
    <w:rsid w:val="3E5631CE"/>
    <w:rsid w:val="415B6F68"/>
    <w:rsid w:val="416D19EE"/>
    <w:rsid w:val="44AE22BE"/>
    <w:rsid w:val="491E2C8D"/>
    <w:rsid w:val="498E0B38"/>
    <w:rsid w:val="4C7A6119"/>
    <w:rsid w:val="4D362A1F"/>
    <w:rsid w:val="4DA151A8"/>
    <w:rsid w:val="4F6E4068"/>
    <w:rsid w:val="50AA3E74"/>
    <w:rsid w:val="573937A7"/>
    <w:rsid w:val="58B56B48"/>
    <w:rsid w:val="5D835182"/>
    <w:rsid w:val="5F8F3E4D"/>
    <w:rsid w:val="607F30BA"/>
    <w:rsid w:val="61920E63"/>
    <w:rsid w:val="663A52EF"/>
    <w:rsid w:val="677B3731"/>
    <w:rsid w:val="68A422C6"/>
    <w:rsid w:val="68C53A50"/>
    <w:rsid w:val="68CA2C8B"/>
    <w:rsid w:val="6CF13B32"/>
    <w:rsid w:val="6CF21E69"/>
    <w:rsid w:val="6DB56889"/>
    <w:rsid w:val="6E2D2722"/>
    <w:rsid w:val="6ECB37CA"/>
    <w:rsid w:val="6F515F89"/>
    <w:rsid w:val="6FBE507F"/>
    <w:rsid w:val="70197CBB"/>
    <w:rsid w:val="726D124F"/>
    <w:rsid w:val="72731175"/>
    <w:rsid w:val="72D92283"/>
    <w:rsid w:val="73BF564F"/>
    <w:rsid w:val="75B10E02"/>
    <w:rsid w:val="76F87E70"/>
    <w:rsid w:val="79D85010"/>
    <w:rsid w:val="7B856E46"/>
    <w:rsid w:val="7D984F8A"/>
    <w:rsid w:val="7F0146F0"/>
    <w:rsid w:val="7FA06A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semiHidden/>
    <w:unhideWhenUsed/>
    <w:qFormat/>
    <w:uiPriority w:val="99"/>
    <w:rPr>
      <w:sz w:val="18"/>
      <w:szCs w:val="18"/>
    </w:rPr>
  </w:style>
  <w:style w:type="paragraph" w:styleId="3">
    <w:name w:val="footer"/>
    <w:basedOn w:val="1"/>
    <w:link w:val="10"/>
    <w:unhideWhenUsed/>
    <w:qFormat/>
    <w:uiPriority w:val="0"/>
    <w:pPr>
      <w:tabs>
        <w:tab w:val="center" w:pos="4153"/>
        <w:tab w:val="right" w:pos="8306"/>
      </w:tabs>
      <w:snapToGrid w:val="0"/>
      <w:jc w:val="left"/>
    </w:pPr>
    <w:rPr>
      <w:sz w:val="18"/>
      <w:szCs w:val="18"/>
    </w:rPr>
  </w:style>
  <w:style w:type="paragraph" w:styleId="4">
    <w:name w:val="header"/>
    <w:basedOn w:val="1"/>
    <w:link w:val="9"/>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Strong"/>
    <w:basedOn w:val="6"/>
    <w:qFormat/>
    <w:uiPriority w:val="0"/>
    <w:rPr>
      <w:rFonts w:ascii="宋体" w:hAnsi="宋体" w:cs="宋体"/>
      <w:b/>
      <w:bCs/>
      <w:sz w:val="24"/>
    </w:rPr>
  </w:style>
  <w:style w:type="character" w:styleId="8">
    <w:name w:val="page number"/>
    <w:basedOn w:val="6"/>
    <w:qFormat/>
    <w:uiPriority w:val="0"/>
  </w:style>
  <w:style w:type="character" w:customStyle="1" w:styleId="9">
    <w:name w:val="页眉 Char"/>
    <w:basedOn w:val="6"/>
    <w:link w:val="4"/>
    <w:semiHidden/>
    <w:qFormat/>
    <w:uiPriority w:val="99"/>
    <w:rPr>
      <w:sz w:val="18"/>
      <w:szCs w:val="18"/>
    </w:rPr>
  </w:style>
  <w:style w:type="character" w:customStyle="1" w:styleId="10">
    <w:name w:val="页脚 Char"/>
    <w:basedOn w:val="6"/>
    <w:link w:val="3"/>
    <w:semiHidden/>
    <w:qFormat/>
    <w:uiPriority w:val="0"/>
    <w:rPr>
      <w:sz w:val="18"/>
      <w:szCs w:val="18"/>
    </w:rPr>
  </w:style>
  <w:style w:type="character" w:customStyle="1" w:styleId="11">
    <w:name w:val="font61"/>
    <w:basedOn w:val="6"/>
    <w:qFormat/>
    <w:uiPriority w:val="0"/>
    <w:rPr>
      <w:rFonts w:ascii="Arial Narrow" w:hAnsi="Arial Narrow" w:eastAsia="Times New Roman" w:cs="Arial Narrow"/>
      <w:color w:val="000000"/>
      <w:sz w:val="21"/>
      <w:szCs w:val="21"/>
      <w:u w:val="none"/>
    </w:rPr>
  </w:style>
  <w:style w:type="character" w:customStyle="1" w:styleId="12">
    <w:name w:val="font51"/>
    <w:basedOn w:val="6"/>
    <w:qFormat/>
    <w:uiPriority w:val="0"/>
    <w:rPr>
      <w:rFonts w:ascii="仿宋_GB2312" w:eastAsia="仿宋_GB2312" w:cs="仿宋_GB2312"/>
      <w:color w:val="000000"/>
      <w:sz w:val="21"/>
      <w:szCs w:val="21"/>
      <w:u w:val="none"/>
    </w:rPr>
  </w:style>
  <w:style w:type="character" w:customStyle="1" w:styleId="13">
    <w:name w:val="批注框文本 Char"/>
    <w:basedOn w:val="6"/>
    <w:link w:val="2"/>
    <w:semiHidden/>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562C43-A65E-49AC-B84A-367EAE4D5D30}">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10</Pages>
  <Words>1373</Words>
  <Characters>1488</Characters>
  <Lines>10</Lines>
  <Paragraphs>3</Paragraphs>
  <TotalTime>8</TotalTime>
  <ScaleCrop>false</ScaleCrop>
  <LinksUpToDate>false</LinksUpToDate>
  <CharactersWithSpaces>1513</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2021-10-26T06:30:00Z</dcterms:created>
  <dc:creator>Microsoft</dc:creator>
  <cp:lastModifiedBy>Administrator</cp:lastModifiedBy>
  <cp:lastPrinted>2024-02-28T02:51:00Z</cp:lastPrinted>
  <dcterms:modified xsi:type="dcterms:W3CDTF">2024-04-24T01:56:08Z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ICV">
    <vt:lpwstr>A8223F5686BC4CDFA86DFB46E986579C</vt:lpwstr>
  </property>
</Properties>
</file>